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D3C">
      <w:pPr>
        <w:pStyle w:val="Textkrper2"/>
        <w:jc w:val="center"/>
        <w:rPr>
          <w:b/>
          <w:bCs w:val="0"/>
        </w:rPr>
      </w:pPr>
      <w:bookmarkStart w:id="0" w:name="_GoBack"/>
      <w:bookmarkEnd w:id="0"/>
    </w:p>
    <w:p w:rsidR="00000000" w:rsidRDefault="00886D3C">
      <w:pPr>
        <w:pStyle w:val="Textkrper2"/>
        <w:jc w:val="center"/>
        <w:rPr>
          <w:b/>
          <w:bCs w:val="0"/>
        </w:rPr>
      </w:pPr>
    </w:p>
    <w:p w:rsidR="00000000" w:rsidRDefault="00886D3C">
      <w:pPr>
        <w:pStyle w:val="Textkrper2"/>
        <w:jc w:val="center"/>
        <w:rPr>
          <w:b/>
          <w:bCs w:val="0"/>
        </w:rPr>
      </w:pPr>
      <w:r>
        <w:rPr>
          <w:b/>
          <w:bCs w:val="0"/>
        </w:rPr>
        <w:t>Gebührenreglement zur Bauordnung</w:t>
      </w:r>
    </w:p>
    <w:p w:rsidR="00000000" w:rsidRDefault="00886D3C">
      <w:pPr>
        <w:pStyle w:val="Textkrper2"/>
        <w:jc w:val="center"/>
        <w:rPr>
          <w:b/>
          <w:bCs w:val="0"/>
          <w:sz w:val="32"/>
        </w:rPr>
      </w:pPr>
    </w:p>
    <w:p w:rsidR="00000000" w:rsidRDefault="00886D3C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>der</w:t>
      </w:r>
    </w:p>
    <w:p w:rsidR="00000000" w:rsidRDefault="00886D3C">
      <w:pPr>
        <w:jc w:val="center"/>
        <w:rPr>
          <w:rFonts w:ascii="Comic Sans MS" w:hAnsi="Comic Sans MS"/>
          <w:b/>
          <w:sz w:val="32"/>
        </w:rPr>
      </w:pPr>
    </w:p>
    <w:p w:rsidR="00000000" w:rsidRDefault="00886D3C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>Gemeinde Brunegg</w:t>
      </w:r>
    </w:p>
    <w:p w:rsidR="00000000" w:rsidRDefault="00886D3C">
      <w:pPr>
        <w:jc w:val="center"/>
        <w:rPr>
          <w:rFonts w:ascii="Comic Sans MS" w:hAnsi="Comic Sans MS"/>
          <w:b/>
          <w:sz w:val="72"/>
        </w:rPr>
      </w:pPr>
    </w:p>
    <w:p w:rsidR="00000000" w:rsidRDefault="00886D3C">
      <w:pPr>
        <w:jc w:val="center"/>
        <w:rPr>
          <w:rFonts w:ascii="Comic Sans MS" w:hAnsi="Comic Sans MS"/>
          <w:b/>
          <w:sz w:val="72"/>
        </w:rPr>
      </w:pPr>
      <w:r>
        <w:fldChar w:fldCharType="begin"/>
      </w:r>
      <w:r>
        <w:instrText xml:space="preserve"> INCLUDEPICTURE "http://www.ngw.nl/int/zwi/b/images/brunegg.jpg"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8.25pt;height:176.25pt">
            <v:imagedata r:id="rId5" r:href="rId6"/>
          </v:shape>
        </w:pict>
      </w:r>
      <w:r>
        <w:fldChar w:fldCharType="end"/>
      </w: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Der Gemeinderat erlässt gestützt auf § 17 der Bauordnung der Gemeinde Brunegg vom 26. August 1980/</w:t>
      </w:r>
      <w:r>
        <w:rPr>
          <w:rFonts w:ascii="Arial" w:hAnsi="Arial"/>
          <w:sz w:val="24"/>
        </w:rPr>
        <w:t xml:space="preserve">12. Mai 1987 das nachstehende </w:t>
      </w: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Gebührenreglement</w:t>
      </w: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Behandlung von Baugesuchen und Gesuchen um Vorentscheide sind folgende einmalige Gebühren zu entrichten:</w:t>
      </w:r>
      <w:r>
        <w:rPr>
          <w:rFonts w:ascii="Arial" w:hAnsi="Arial"/>
          <w:sz w:val="24"/>
        </w:rPr>
        <w:br/>
      </w:r>
    </w:p>
    <w:p w:rsidR="00000000" w:rsidRDefault="00886D3C">
      <w:pPr>
        <w:tabs>
          <w:tab w:val="left" w:pos="284"/>
          <w:tab w:val="left" w:pos="709"/>
        </w:tabs>
        <w:ind w:left="426" w:hanging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  <w:t>für Vorentscheide:</w:t>
      </w:r>
    </w:p>
    <w:p w:rsidR="00000000" w:rsidRDefault="00886D3C">
      <w:pPr>
        <w:tabs>
          <w:tab w:val="left" w:pos="709"/>
        </w:tabs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0,5 o/</w:t>
      </w:r>
      <w:proofErr w:type="spellStart"/>
      <w:r>
        <w:rPr>
          <w:rFonts w:ascii="Arial" w:hAnsi="Arial"/>
          <w:sz w:val="24"/>
        </w:rPr>
        <w:t>oo</w:t>
      </w:r>
      <w:proofErr w:type="spellEnd"/>
      <w:r>
        <w:rPr>
          <w:rFonts w:ascii="Arial" w:hAnsi="Arial"/>
          <w:sz w:val="24"/>
        </w:rPr>
        <w:t xml:space="preserve"> der geschätzten Bausumme, ohne Anrechnung bei Erteilung der </w:t>
      </w:r>
      <w:r>
        <w:rPr>
          <w:rFonts w:ascii="Arial" w:hAnsi="Arial"/>
          <w:sz w:val="24"/>
        </w:rPr>
        <w:t>Baubewilligung, mindestens aber Fr. 70.--.</w:t>
      </w:r>
    </w:p>
    <w:p w:rsidR="00000000" w:rsidRDefault="00886D3C">
      <w:pPr>
        <w:tabs>
          <w:tab w:val="left" w:pos="426"/>
          <w:tab w:val="left" w:pos="709"/>
          <w:tab w:val="left" w:pos="851"/>
        </w:tabs>
        <w:rPr>
          <w:rFonts w:ascii="Arial" w:hAnsi="Arial"/>
          <w:sz w:val="24"/>
        </w:rPr>
      </w:pPr>
    </w:p>
    <w:p w:rsidR="00000000" w:rsidRDefault="00886D3C">
      <w:pPr>
        <w:tabs>
          <w:tab w:val="left" w:pos="426"/>
          <w:tab w:val="left" w:pos="709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für bewilligte Baugesuche:</w:t>
      </w:r>
    </w:p>
    <w:p w:rsidR="00000000" w:rsidRDefault="00886D3C">
      <w:pPr>
        <w:tabs>
          <w:tab w:val="left" w:pos="426"/>
          <w:tab w:val="left" w:pos="709"/>
        </w:tabs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2,0 o/</w:t>
      </w:r>
      <w:proofErr w:type="spellStart"/>
      <w:r>
        <w:rPr>
          <w:rFonts w:ascii="Arial" w:hAnsi="Arial"/>
          <w:sz w:val="24"/>
        </w:rPr>
        <w:t>oo</w:t>
      </w:r>
      <w:proofErr w:type="spellEnd"/>
      <w:r>
        <w:rPr>
          <w:rFonts w:ascii="Arial" w:hAnsi="Arial"/>
          <w:sz w:val="24"/>
        </w:rPr>
        <w:t xml:space="preserve"> der errechneten Bausumme, für Gebäude auf Grund der nach SIA-Normen berechneten Baukosten, mindestens aber Fr. 70.--. Dazu kommen die effektiven Inseratkosten für die Publik</w:t>
      </w:r>
      <w:r>
        <w:rPr>
          <w:rFonts w:ascii="Arial" w:hAnsi="Arial"/>
          <w:sz w:val="24"/>
        </w:rPr>
        <w:t>ation.</w:t>
      </w:r>
    </w:p>
    <w:p w:rsidR="00000000" w:rsidRDefault="00886D3C">
      <w:pPr>
        <w:tabs>
          <w:tab w:val="left" w:pos="426"/>
          <w:tab w:val="left" w:pos="709"/>
        </w:tabs>
        <w:ind w:left="709"/>
        <w:rPr>
          <w:rFonts w:ascii="Arial" w:hAnsi="Arial"/>
          <w:sz w:val="24"/>
        </w:rPr>
      </w:pPr>
    </w:p>
    <w:p w:rsidR="00000000" w:rsidRDefault="00886D3C">
      <w:pPr>
        <w:pStyle w:val="Textkrper-Zeileneinzug"/>
        <w:jc w:val="left"/>
      </w:pPr>
      <w:r>
        <w:t xml:space="preserve">Die </w:t>
      </w:r>
      <w:proofErr w:type="spellStart"/>
      <w:r>
        <w:t>promillemässig</w:t>
      </w:r>
      <w:proofErr w:type="spellEnd"/>
      <w:r>
        <w:t xml:space="preserve"> ermittelte Baubewilligungsgebühr wird </w:t>
      </w:r>
      <w:proofErr w:type="spellStart"/>
      <w:r>
        <w:t>ermässigt</w:t>
      </w:r>
      <w:proofErr w:type="spellEnd"/>
      <w:r>
        <w:t xml:space="preserve"> um die nach Ziff. 3 </w:t>
      </w:r>
      <w:proofErr w:type="spellStart"/>
      <w:r>
        <w:t>hienach</w:t>
      </w:r>
      <w:proofErr w:type="spellEnd"/>
      <w:r>
        <w:t xml:space="preserve"> separat erhobenen effektiven Kosten einer externen Bauverwaltung.</w:t>
      </w:r>
    </w:p>
    <w:p w:rsidR="00000000" w:rsidRDefault="00886D3C">
      <w:pPr>
        <w:tabs>
          <w:tab w:val="left" w:pos="426"/>
          <w:tab w:val="left" w:pos="709"/>
        </w:tabs>
        <w:ind w:left="709"/>
        <w:rPr>
          <w:rFonts w:ascii="Arial" w:hAnsi="Arial"/>
          <w:sz w:val="24"/>
        </w:rPr>
      </w:pPr>
    </w:p>
    <w:p w:rsidR="00000000" w:rsidRDefault="00886D3C">
      <w:pPr>
        <w:pStyle w:val="Textkrper-Zeileneinzug"/>
        <w:jc w:val="left"/>
      </w:pPr>
      <w:r>
        <w:t xml:space="preserve">Durch diese </w:t>
      </w:r>
      <w:proofErr w:type="spellStart"/>
      <w:r>
        <w:t>Ermässigung</w:t>
      </w:r>
      <w:proofErr w:type="spellEnd"/>
      <w:r>
        <w:t xml:space="preserve"> darf der für die Erfüllung allg. Bauverwaltungsaufgaben der Ge</w:t>
      </w:r>
      <w:r>
        <w:t>meinde verbleibende Betrag den Satz von 1,0 o/</w:t>
      </w:r>
      <w:proofErr w:type="spellStart"/>
      <w:r>
        <w:t>oo</w:t>
      </w:r>
      <w:proofErr w:type="spellEnd"/>
      <w:r>
        <w:t xml:space="preserve"> der errechneten Bausumme nicht unterschreiten.</w:t>
      </w:r>
    </w:p>
    <w:p w:rsidR="00000000" w:rsidRDefault="00886D3C">
      <w:pPr>
        <w:tabs>
          <w:tab w:val="left" w:pos="426"/>
          <w:tab w:val="left" w:pos="709"/>
        </w:tabs>
        <w:ind w:left="709"/>
        <w:rPr>
          <w:rFonts w:ascii="Arial" w:hAnsi="Arial"/>
          <w:sz w:val="24"/>
        </w:rPr>
      </w:pPr>
    </w:p>
    <w:p w:rsidR="00000000" w:rsidRDefault="00886D3C">
      <w:pPr>
        <w:pStyle w:val="Textkrper-Zeileneinzug"/>
        <w:jc w:val="left"/>
      </w:pPr>
      <w:r>
        <w:t>Die Gebühren werden geschuldet, auch wenn von der erteilten Bewilligung kein Gebrauch gemacht wird.</w:t>
      </w:r>
    </w:p>
    <w:p w:rsidR="00000000" w:rsidRDefault="00886D3C">
      <w:pPr>
        <w:tabs>
          <w:tab w:val="left" w:pos="426"/>
          <w:tab w:val="left" w:pos="709"/>
        </w:tabs>
        <w:ind w:left="709"/>
        <w:rPr>
          <w:rFonts w:ascii="Arial" w:hAnsi="Arial"/>
          <w:sz w:val="24"/>
        </w:rPr>
      </w:pPr>
    </w:p>
    <w:p w:rsidR="00000000" w:rsidRDefault="00886D3C">
      <w:pPr>
        <w:pStyle w:val="Textkrper-Zeileneinzug"/>
        <w:jc w:val="left"/>
      </w:pPr>
      <w:r>
        <w:t>Bei Bauten oder Bauteilen, für welche nach Bauvollendung d</w:t>
      </w:r>
      <w:r>
        <w:t xml:space="preserve">as </w:t>
      </w:r>
      <w:proofErr w:type="spellStart"/>
      <w:r>
        <w:t>Aarg</w:t>
      </w:r>
      <w:proofErr w:type="spellEnd"/>
      <w:r>
        <w:t>. Versicherungsamt (AVA) einen Brandversicherungswert festlegt, wird die Gebühr auf Grund dieses Wertes neu berechnet. Bei einer Abweichung zu der nach lit. b berechneten Gebühr von mehr als Fr. 100.-- wird die Differenz in Rechnung gestellt bzw. er</w:t>
      </w:r>
      <w:r>
        <w:t>stattet.</w:t>
      </w:r>
    </w:p>
    <w:p w:rsidR="00000000" w:rsidRDefault="00886D3C">
      <w:pPr>
        <w:tabs>
          <w:tab w:val="left" w:pos="426"/>
          <w:tab w:val="left" w:pos="709"/>
        </w:tabs>
        <w:ind w:left="284"/>
        <w:rPr>
          <w:rFonts w:ascii="Arial" w:hAnsi="Arial"/>
          <w:sz w:val="24"/>
        </w:rPr>
      </w:pPr>
    </w:p>
    <w:p w:rsidR="00000000" w:rsidRDefault="00886D3C">
      <w:pPr>
        <w:tabs>
          <w:tab w:val="left" w:pos="426"/>
          <w:tab w:val="left" w:pos="709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</w:t>
      </w:r>
      <w:r>
        <w:rPr>
          <w:rFonts w:ascii="Arial" w:hAnsi="Arial"/>
          <w:sz w:val="24"/>
        </w:rPr>
        <w:tab/>
        <w:t>für abgelehnte und zurückgezogene Baugesuche:</w:t>
      </w:r>
    </w:p>
    <w:p w:rsidR="00000000" w:rsidRDefault="00886D3C">
      <w:pPr>
        <w:pStyle w:val="Textkrper-Zeileneinzug"/>
        <w:jc w:val="left"/>
      </w:pPr>
      <w:r>
        <w:t>Nach Aufwand im Rahmen des Gebührensatzes für bewilligte Gesuche, mindestens aber Fr. 70.--.</w:t>
      </w: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Entstehen wegen Einreichung mangelhafter Baugesuche Mehrarbeiten oder werden durch Nichtbefolgung der </w:t>
      </w:r>
      <w:r>
        <w:rPr>
          <w:rFonts w:ascii="Arial" w:hAnsi="Arial"/>
          <w:sz w:val="24"/>
        </w:rPr>
        <w:t>Bauordnung oder von erteilten Baubewilligungen zusätzliche Aufwendungen, Besichtigungen, Kontrollen etc. notwendig, so sind diese in jedem Fall zu ersetzen.</w:t>
      </w:r>
    </w:p>
    <w:p w:rsidR="00000000" w:rsidRDefault="00886D3C">
      <w:pPr>
        <w:numPr>
          <w:ilvl w:val="12"/>
          <w:numId w:val="0"/>
        </w:numPr>
        <w:tabs>
          <w:tab w:val="left" w:pos="426"/>
          <w:tab w:val="left" w:pos="851"/>
        </w:tabs>
        <w:ind w:left="283" w:hanging="283"/>
        <w:rPr>
          <w:rFonts w:ascii="Arial" w:hAnsi="Arial"/>
          <w:sz w:val="24"/>
        </w:rPr>
      </w:pP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 effektiven Kosten einer externen Bauverwaltung für Profilkontrolle, die bau-polizeiliche Prüfu</w:t>
      </w:r>
      <w:r>
        <w:rPr>
          <w:rFonts w:ascii="Arial" w:hAnsi="Arial"/>
          <w:sz w:val="24"/>
        </w:rPr>
        <w:t xml:space="preserve">ng und Bearbeitung des Baugesuches </w:t>
      </w:r>
      <w:proofErr w:type="spellStart"/>
      <w:r>
        <w:rPr>
          <w:rFonts w:ascii="Arial" w:hAnsi="Arial"/>
          <w:sz w:val="24"/>
        </w:rPr>
        <w:t>einschliesslich</w:t>
      </w:r>
      <w:proofErr w:type="spellEnd"/>
      <w:r>
        <w:rPr>
          <w:rFonts w:ascii="Arial" w:hAnsi="Arial"/>
          <w:sz w:val="24"/>
        </w:rPr>
        <w:t xml:space="preserve"> Brand-, Lärm-, Wärme- und Zivilschutz und die gesetzlich vorgeschriebenen Baukontrollen sind von der Bauherrschaft zusätzlich zu ersetzen.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16"/>
        </w:rPr>
        <w:t>Seite 2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Die Kosten für Gutachten, spezielle Beaufsichtigungen, </w:t>
      </w:r>
      <w:r>
        <w:rPr>
          <w:rFonts w:ascii="Arial" w:hAnsi="Arial"/>
          <w:sz w:val="24"/>
        </w:rPr>
        <w:t>Messungen und Kontrollen sind durch den Verursacher zu entrichten.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Benützung des öffentlichen Grundes nach § 21 Bauordnung wird nach </w:t>
      </w:r>
      <w:proofErr w:type="spellStart"/>
      <w:r>
        <w:rPr>
          <w:rFonts w:ascii="Arial" w:hAnsi="Arial"/>
          <w:sz w:val="24"/>
        </w:rPr>
        <w:t>Massgabe</w:t>
      </w:r>
      <w:proofErr w:type="spellEnd"/>
      <w:r>
        <w:rPr>
          <w:rFonts w:ascii="Arial" w:hAnsi="Arial"/>
          <w:sz w:val="24"/>
        </w:rPr>
        <w:t xml:space="preserve"> von Umfang und Dauer beim Unternehmer eine Gebühr von Fr. 50.-- bis Fr. 1’000.-- erhoben.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 Gebühren n</w:t>
      </w:r>
      <w:r>
        <w:rPr>
          <w:rFonts w:ascii="Arial" w:hAnsi="Arial"/>
          <w:sz w:val="24"/>
        </w:rPr>
        <w:t>ach diesem Reglement werden vom Gemeinderat festgelegt.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Gebühren werden innert 30 Tagen ab Zustellung des Bauentscheides fällig. Nach Ablauf der Zahlungsfrist wird ein Verzugszins in der Höhe des Zinssatzes der </w:t>
      </w:r>
      <w:proofErr w:type="spellStart"/>
      <w:r>
        <w:rPr>
          <w:rFonts w:ascii="Arial" w:hAnsi="Arial"/>
          <w:sz w:val="24"/>
        </w:rPr>
        <w:t>Aarg</w:t>
      </w:r>
      <w:proofErr w:type="spellEnd"/>
      <w:r>
        <w:rPr>
          <w:rFonts w:ascii="Arial" w:hAnsi="Arial"/>
          <w:sz w:val="24"/>
        </w:rPr>
        <w:t>. Kantonalbank für 1. Hypotheken ges</w:t>
      </w:r>
      <w:r>
        <w:rPr>
          <w:rFonts w:ascii="Arial" w:hAnsi="Arial"/>
          <w:sz w:val="24"/>
        </w:rPr>
        <w:t>chuldet.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Gemeinderat ist berechtigt, für Baugesuche mit einer Bausumme von mehr als 5 Millionen Franken den Gebührensatz nach Ziff. 1b hievor ausnahmsweise den besonderen Verhältnissen anzupassen, wenn die Anwendung des </w:t>
      </w:r>
      <w:proofErr w:type="spellStart"/>
      <w:r>
        <w:rPr>
          <w:rFonts w:ascii="Arial" w:hAnsi="Arial"/>
          <w:sz w:val="24"/>
        </w:rPr>
        <w:t>Gebührenreglementes</w:t>
      </w:r>
      <w:proofErr w:type="spellEnd"/>
      <w:r>
        <w:rPr>
          <w:rFonts w:ascii="Arial" w:hAnsi="Arial"/>
          <w:sz w:val="24"/>
        </w:rPr>
        <w:t xml:space="preserve"> unangemesse</w:t>
      </w:r>
      <w:r>
        <w:rPr>
          <w:rFonts w:ascii="Arial" w:hAnsi="Arial"/>
          <w:sz w:val="24"/>
        </w:rPr>
        <w:t>n wäre oder durch die Anwendung ein offensichtlicher Härtefall entstehen würde.</w:t>
      </w: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Der Gemeinderat kann vom Gesuchsteller einen Kostenvorschuss verlangen und die Behandlung des Gesuches von dessen Leistung abhängig machen.</w:t>
      </w:r>
      <w:r>
        <w:rPr>
          <w:rFonts w:ascii="Arial" w:hAnsi="Arial"/>
          <w:sz w:val="24"/>
        </w:rPr>
        <w:br/>
      </w:r>
    </w:p>
    <w:p w:rsidR="00000000" w:rsidRDefault="00886D3C">
      <w:pPr>
        <w:numPr>
          <w:ilvl w:val="0"/>
          <w:numId w:val="2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Dieses Gebührenreglement tritt mit</w:t>
      </w:r>
      <w:r>
        <w:rPr>
          <w:rFonts w:ascii="Arial" w:hAnsi="Arial"/>
          <w:sz w:val="24"/>
        </w:rPr>
        <w:t xml:space="preserve"> dessen Genehmigung durch die Gemeindeversammlung in kraft.</w:t>
      </w:r>
    </w:p>
    <w:p w:rsidR="00000000" w:rsidRDefault="00886D3C">
      <w:pPr>
        <w:numPr>
          <w:ilvl w:val="12"/>
          <w:numId w:val="0"/>
        </w:numPr>
        <w:tabs>
          <w:tab w:val="left" w:pos="0"/>
          <w:tab w:val="left" w:pos="851"/>
        </w:tabs>
        <w:ind w:left="283" w:hanging="283"/>
        <w:rPr>
          <w:rFonts w:ascii="Arial" w:hAnsi="Arial"/>
          <w:sz w:val="24"/>
        </w:rPr>
      </w:pP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Beschlossen vom Gemeinderat am 9. Oktober 1995</w:t>
      </w: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</w:p>
    <w:p w:rsidR="00000000" w:rsidRDefault="00886D3C">
      <w:p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Genehmigt durch die Gemeindeversammlung vom 27. November 1995</w:t>
      </w: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pStyle w:val="Textkrper"/>
      </w:pPr>
      <w:r>
        <w:t xml:space="preserve">Die Anschlussgebühren für Wasser und Abwasser sind im </w:t>
      </w:r>
      <w:proofErr w:type="spellStart"/>
      <w:r>
        <w:t>Erschliessungsreglement</w:t>
      </w:r>
      <w:proofErr w:type="spellEnd"/>
      <w:r>
        <w:t xml:space="preserve"> ger</w:t>
      </w:r>
      <w:r>
        <w:t>egelt</w:t>
      </w:r>
    </w:p>
    <w:p w:rsidR="00000000" w:rsidRDefault="00886D3C">
      <w:pPr>
        <w:rPr>
          <w:rFonts w:ascii="Arial" w:hAnsi="Arial"/>
          <w:sz w:val="24"/>
        </w:rPr>
      </w:pPr>
    </w:p>
    <w:p w:rsidR="00000000" w:rsidRDefault="00886D3C">
      <w:pPr>
        <w:rPr>
          <w:rFonts w:ascii="Arial" w:hAnsi="Arial"/>
          <w:sz w:val="24"/>
        </w:rPr>
      </w:pPr>
    </w:p>
    <w:p w:rsidR="00000000" w:rsidRDefault="00886D3C"/>
    <w:sectPr w:rsidR="00000000">
      <w:pgSz w:w="11907" w:h="16840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EF7"/>
    <w:multiLevelType w:val="singleLevel"/>
    <w:tmpl w:val="0792E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35B2E45"/>
    <w:multiLevelType w:val="singleLevel"/>
    <w:tmpl w:val="91866B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D3C"/>
    <w:rsid w:val="008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26"/>
        <w:tab w:val="left" w:pos="709"/>
      </w:tabs>
      <w:ind w:left="709"/>
      <w:jc w:val="both"/>
    </w:pPr>
    <w:rPr>
      <w:rFonts w:ascii="Arial" w:hAnsi="Arial"/>
      <w:sz w:val="24"/>
    </w:r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Textkrper2">
    <w:name w:val="Body Text 2"/>
    <w:basedOn w:val="Standard"/>
    <w:semiHidden/>
    <w:rPr>
      <w:rFonts w:ascii="Comic Sans MS" w:hAnsi="Comic Sans MS"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gw.nl/int/zwi/b/images/bruneg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Gebührenreglement zur Bauordnung</vt:lpstr>
    </vt:vector>
  </TitlesOfParts>
  <Company>Gemeindekanzlei Brunegg</Company>
  <LinksUpToDate>false</LinksUpToDate>
  <CharactersWithSpaces>3586</CharactersWithSpaces>
  <SharedDoc>false</SharedDoc>
  <HLinks>
    <vt:vector size="6" baseType="variant">
      <vt:variant>
        <vt:i4>2359422</vt:i4>
      </vt:variant>
      <vt:variant>
        <vt:i4>1169</vt:i4>
      </vt:variant>
      <vt:variant>
        <vt:i4>1025</vt:i4>
      </vt:variant>
      <vt:variant>
        <vt:i4>1</vt:i4>
      </vt:variant>
      <vt:variant>
        <vt:lpwstr>http://www.ngw.nl/int/zwi/b/images/brunegg.jpg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Gebührenreglement zur Bauordnung</dc:title>
  <dc:creator>Informatik</dc:creator>
  <cp:lastModifiedBy>rz</cp:lastModifiedBy>
  <cp:revision>2</cp:revision>
  <cp:lastPrinted>2002-12-18T11:10:00Z</cp:lastPrinted>
  <dcterms:created xsi:type="dcterms:W3CDTF">2020-01-20T13:16:00Z</dcterms:created>
  <dcterms:modified xsi:type="dcterms:W3CDTF">2020-01-20T13:16:00Z</dcterms:modified>
</cp:coreProperties>
</file>