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437ED">
      <w:pPr>
        <w:rPr>
          <w:sz w:val="22"/>
          <w:szCs w:val="22"/>
        </w:rPr>
      </w:pPr>
      <w:bookmarkStart w:id="0" w:name="_GoBack"/>
      <w:bookmarkEnd w:id="0"/>
    </w:p>
    <w:p w:rsidR="00000000" w:rsidRDefault="002437ED">
      <w:pPr>
        <w:rPr>
          <w:sz w:val="22"/>
          <w:szCs w:val="22"/>
        </w:rPr>
      </w:pPr>
    </w:p>
    <w:p w:rsidR="00000000" w:rsidRDefault="002437ED">
      <w:pPr>
        <w:rPr>
          <w:sz w:val="22"/>
          <w:szCs w:val="22"/>
        </w:rPr>
      </w:pPr>
    </w:p>
    <w:p w:rsidR="00000000" w:rsidRDefault="002437ED">
      <w:pPr>
        <w:rPr>
          <w:sz w:val="22"/>
          <w:szCs w:val="22"/>
        </w:rPr>
      </w:pPr>
    </w:p>
    <w:p w:rsidR="00000000" w:rsidRDefault="002437ED">
      <w:pPr>
        <w:rPr>
          <w:sz w:val="22"/>
          <w:szCs w:val="22"/>
        </w:rPr>
      </w:pPr>
    </w:p>
    <w:p w:rsidR="00000000" w:rsidRDefault="002437ED">
      <w:pPr>
        <w:rPr>
          <w:sz w:val="22"/>
          <w:szCs w:val="22"/>
        </w:rPr>
      </w:pPr>
    </w:p>
    <w:p w:rsidR="00000000" w:rsidRDefault="002437ED">
      <w:pPr>
        <w:rPr>
          <w:sz w:val="22"/>
          <w:szCs w:val="22"/>
        </w:rPr>
      </w:pPr>
    </w:p>
    <w:p w:rsidR="00000000" w:rsidRDefault="002437ED">
      <w:pPr>
        <w:rPr>
          <w:sz w:val="22"/>
          <w:szCs w:val="22"/>
        </w:rPr>
      </w:pPr>
    </w:p>
    <w:p w:rsidR="00000000" w:rsidRDefault="002437ED">
      <w:pPr>
        <w:rPr>
          <w:sz w:val="22"/>
          <w:szCs w:val="22"/>
        </w:rPr>
      </w:pPr>
    </w:p>
    <w:p w:rsidR="00000000" w:rsidRDefault="002437ED">
      <w:pPr>
        <w:jc w:val="center"/>
        <w:rPr>
          <w:rFonts w:ascii="Comic Sans MS" w:hAnsi="Comic Sans MS"/>
          <w:b/>
          <w:bCs/>
          <w:sz w:val="88"/>
          <w:szCs w:val="88"/>
        </w:rPr>
      </w:pPr>
      <w:r>
        <w:rPr>
          <w:rFonts w:ascii="Comic Sans MS" w:hAnsi="Comic Sans MS"/>
          <w:b/>
          <w:bCs/>
          <w:sz w:val="88"/>
          <w:szCs w:val="88"/>
        </w:rPr>
        <w:t>Polizeiregl</w:t>
      </w:r>
      <w:r>
        <w:rPr>
          <w:rFonts w:ascii="Comic Sans MS" w:hAnsi="Comic Sans MS"/>
          <w:b/>
          <w:bCs/>
          <w:sz w:val="88"/>
          <w:szCs w:val="88"/>
        </w:rPr>
        <w:t>e</w:t>
      </w:r>
      <w:r>
        <w:rPr>
          <w:rFonts w:ascii="Comic Sans MS" w:hAnsi="Comic Sans MS"/>
          <w:b/>
          <w:bCs/>
          <w:sz w:val="88"/>
          <w:szCs w:val="88"/>
        </w:rPr>
        <w:t>ment</w:t>
      </w:r>
    </w:p>
    <w:p w:rsidR="00000000" w:rsidRDefault="002437ED">
      <w:pPr>
        <w:jc w:val="center"/>
        <w:rPr>
          <w:rFonts w:ascii="Comic Sans MS" w:hAnsi="Comic Sans MS"/>
          <w:b/>
          <w:bCs/>
          <w:sz w:val="88"/>
          <w:szCs w:val="88"/>
        </w:rPr>
      </w:pPr>
      <w:r>
        <w:rPr>
          <w:rFonts w:ascii="Comic Sans MS" w:hAnsi="Comic Sans MS"/>
          <w:b/>
          <w:bCs/>
          <w:sz w:val="88"/>
          <w:szCs w:val="88"/>
        </w:rPr>
        <w:t>der</w:t>
      </w:r>
    </w:p>
    <w:p w:rsidR="00000000" w:rsidRDefault="002437ED">
      <w:pPr>
        <w:pStyle w:val="berschrift5"/>
        <w:rPr>
          <w:sz w:val="88"/>
          <w:szCs w:val="88"/>
        </w:rPr>
      </w:pPr>
      <w:r>
        <w:rPr>
          <w:sz w:val="88"/>
          <w:szCs w:val="88"/>
        </w:rPr>
        <w:t>Gemeinde Brunegg</w:t>
      </w:r>
    </w:p>
    <w:p w:rsidR="00000000" w:rsidRDefault="002437ED">
      <w:pPr>
        <w:jc w:val="center"/>
        <w:rPr>
          <w:sz w:val="22"/>
          <w:szCs w:val="22"/>
        </w:rPr>
      </w:pPr>
    </w:p>
    <w:p w:rsidR="00000000" w:rsidRDefault="002437ED">
      <w:pPr>
        <w:jc w:val="center"/>
        <w:rPr>
          <w:sz w:val="22"/>
          <w:szCs w:val="22"/>
        </w:rPr>
      </w:pPr>
    </w:p>
    <w:p w:rsidR="00000000" w:rsidRDefault="002437ED">
      <w:pPr>
        <w:jc w:val="center"/>
        <w:rPr>
          <w:sz w:val="22"/>
          <w:szCs w:val="22"/>
        </w:rPr>
      </w:pPr>
    </w:p>
    <w:p w:rsidR="00000000" w:rsidRDefault="002437ED">
      <w:pPr>
        <w:jc w:val="center"/>
        <w:rPr>
          <w:sz w:val="22"/>
          <w:szCs w:val="22"/>
        </w:rPr>
      </w:pPr>
    </w:p>
    <w:p w:rsidR="00000000" w:rsidRDefault="002437ED">
      <w:pPr>
        <w:jc w:val="center"/>
        <w:rPr>
          <w:sz w:val="22"/>
          <w:szCs w:val="22"/>
        </w:rPr>
      </w:pPr>
      <w:r>
        <w:rPr>
          <w:noProof/>
          <w:sz w:val="18"/>
          <w:szCs w:val="18"/>
          <w:lang w:eastAsia="de-CH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147320</wp:posOffset>
            </wp:positionV>
            <wp:extent cx="2009775" cy="2238375"/>
            <wp:effectExtent l="0" t="0" r="9525" b="9525"/>
            <wp:wrapNone/>
            <wp:docPr id="2" name="Bild 2" descr="http://www.ngw.nl/int/zwi/b/images/brune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gw.nl/int/zwi/b/images/brunegg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2437ED">
      <w:pPr>
        <w:rPr>
          <w:sz w:val="22"/>
          <w:szCs w:val="22"/>
        </w:rPr>
      </w:pPr>
    </w:p>
    <w:p w:rsidR="00000000" w:rsidRDefault="002437ED">
      <w:pPr>
        <w:rPr>
          <w:sz w:val="22"/>
          <w:szCs w:val="22"/>
        </w:rPr>
      </w:pPr>
    </w:p>
    <w:p w:rsidR="00000000" w:rsidRDefault="002437ED">
      <w:pPr>
        <w:rPr>
          <w:sz w:val="22"/>
          <w:szCs w:val="22"/>
        </w:rPr>
      </w:pPr>
    </w:p>
    <w:p w:rsidR="00000000" w:rsidRDefault="002437ED">
      <w:pPr>
        <w:rPr>
          <w:sz w:val="22"/>
          <w:szCs w:val="22"/>
        </w:rPr>
      </w:pPr>
    </w:p>
    <w:p w:rsidR="00000000" w:rsidRDefault="002437ED">
      <w:pPr>
        <w:rPr>
          <w:sz w:val="22"/>
          <w:szCs w:val="22"/>
        </w:rPr>
      </w:pPr>
    </w:p>
    <w:p w:rsidR="00000000" w:rsidRDefault="002437ED">
      <w:pPr>
        <w:rPr>
          <w:sz w:val="22"/>
          <w:szCs w:val="22"/>
        </w:rPr>
      </w:pPr>
    </w:p>
    <w:p w:rsidR="00000000" w:rsidRDefault="002437ED">
      <w:pPr>
        <w:rPr>
          <w:sz w:val="22"/>
          <w:szCs w:val="22"/>
        </w:rPr>
      </w:pPr>
    </w:p>
    <w:p w:rsidR="00000000" w:rsidRDefault="002437ED">
      <w:pPr>
        <w:rPr>
          <w:sz w:val="22"/>
          <w:szCs w:val="22"/>
        </w:rPr>
      </w:pPr>
    </w:p>
    <w:p w:rsidR="00000000" w:rsidRDefault="002437ED">
      <w:pPr>
        <w:rPr>
          <w:sz w:val="22"/>
          <w:szCs w:val="22"/>
        </w:rPr>
      </w:pPr>
    </w:p>
    <w:p w:rsidR="00000000" w:rsidRDefault="002437ED">
      <w:pPr>
        <w:rPr>
          <w:sz w:val="22"/>
          <w:szCs w:val="22"/>
        </w:rPr>
      </w:pPr>
    </w:p>
    <w:p w:rsidR="00000000" w:rsidRDefault="002437ED">
      <w:pPr>
        <w:rPr>
          <w:sz w:val="22"/>
          <w:szCs w:val="22"/>
        </w:rPr>
      </w:pPr>
    </w:p>
    <w:p w:rsidR="00000000" w:rsidRDefault="002437ED">
      <w:pPr>
        <w:rPr>
          <w:sz w:val="22"/>
          <w:szCs w:val="22"/>
        </w:rPr>
      </w:pPr>
    </w:p>
    <w:p w:rsidR="00000000" w:rsidRDefault="002437ED">
      <w:pPr>
        <w:rPr>
          <w:sz w:val="22"/>
          <w:szCs w:val="22"/>
        </w:rPr>
      </w:pPr>
    </w:p>
    <w:p w:rsidR="00000000" w:rsidRDefault="002437ED">
      <w:pPr>
        <w:rPr>
          <w:sz w:val="22"/>
          <w:szCs w:val="22"/>
        </w:rPr>
      </w:pPr>
    </w:p>
    <w:p w:rsidR="00000000" w:rsidRDefault="002437ED">
      <w:pPr>
        <w:rPr>
          <w:sz w:val="22"/>
          <w:szCs w:val="22"/>
        </w:rPr>
      </w:pPr>
    </w:p>
    <w:p w:rsidR="00000000" w:rsidRDefault="002437ED">
      <w:pPr>
        <w:rPr>
          <w:sz w:val="22"/>
          <w:szCs w:val="22"/>
        </w:rPr>
      </w:pPr>
    </w:p>
    <w:p w:rsidR="00000000" w:rsidRDefault="002437ED">
      <w:pPr>
        <w:rPr>
          <w:sz w:val="22"/>
          <w:szCs w:val="22"/>
        </w:rPr>
      </w:pPr>
    </w:p>
    <w:p w:rsidR="00000000" w:rsidRDefault="002437ED">
      <w:pPr>
        <w:rPr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670"/>
        <w:gridCol w:w="2881"/>
        <w:gridCol w:w="12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pStyle w:val="berschrift1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Inhaltsverzeichnis</w:t>
            </w:r>
          </w:p>
        </w:tc>
        <w:tc>
          <w:tcPr>
            <w:tcW w:w="2881" w:type="dxa"/>
          </w:tcPr>
          <w:p w:rsidR="00000000" w:rsidRDefault="002437ED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§</w:t>
            </w:r>
          </w:p>
        </w:tc>
        <w:tc>
          <w:tcPr>
            <w:tcW w:w="1221" w:type="dxa"/>
          </w:tcPr>
          <w:p w:rsidR="00000000" w:rsidRDefault="002437ED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Seite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pStyle w:val="berschrift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I. Allgemeine Bestimmungen</w:t>
            </w: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pStyle w:val="berschrift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Sinn und Zweck</w:t>
            </w: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Polizeiorgane</w:t>
            </w: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pStyle w:val="berschrift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Anordnung und Vorladungen </w:t>
            </w: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Identitätsnachweis</w:t>
            </w: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Störung polizeilicher Tätigkeit</w:t>
            </w: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pStyle w:val="berschrift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pStyle w:val="berschrift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II. Besondere Bestimmungen</w:t>
            </w: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</w:tcPr>
          <w:p w:rsidR="00000000" w:rsidRDefault="002437E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pStyle w:val="berschrift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A. Schutz der öffentlichen Sachen</w:t>
            </w: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</w:tcPr>
          <w:p w:rsidR="00000000" w:rsidRDefault="002437E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Grundsatz</w:t>
            </w: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Reinigungspflicht</w:t>
            </w: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Lagerung von Waren und Abfällen</w:t>
            </w: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pStyle w:val="berschrift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B. Immissionsschutz</w:t>
            </w: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pStyle w:val="berschrift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Grundsatz</w:t>
            </w: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Lärm</w:t>
            </w: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Vorbehalte</w:t>
            </w: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pStyle w:val="berschrift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C. Schutz der öffentlichen Ordnung und  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cherheit</w:t>
            </w: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Unfug </w:t>
            </w: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Schiessen</w:t>
            </w: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pStyle w:val="berschrift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Sprengungen</w:t>
            </w: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pStyle w:val="berschrift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Tierhaltung</w:t>
            </w: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pStyle w:val="berschrift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D. Schutz der öffentlichen 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ittlichkeit </w:t>
            </w: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Notdurft</w:t>
            </w: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pStyle w:val="berschrift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Ärgernis</w:t>
            </w: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III. Bewilligungen, Strafen, Verfahren, Verwa</w:t>
            </w:r>
            <w:r>
              <w:rPr>
                <w:b/>
                <w:bCs/>
                <w:sz w:val="22"/>
                <w:szCs w:val="22"/>
              </w:rPr>
              <w:t>l</w:t>
            </w:r>
            <w:r>
              <w:rPr>
                <w:b/>
                <w:bCs/>
                <w:sz w:val="22"/>
                <w:szCs w:val="22"/>
              </w:rPr>
              <w:t>tungszwang</w:t>
            </w: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Bewilligungen</w:t>
            </w: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Bussen</w:t>
            </w: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pStyle w:val="berschrift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Verwarnungen</w:t>
            </w: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Fahrlässigkeit, Versuch</w:t>
            </w: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Bussenumwandlung</w:t>
            </w: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Juristische Personen, Handelsgesellschaften, B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zahlung der Busse</w:t>
            </w: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Subsidiäre Geltung des Strafgesetzbuches</w:t>
            </w: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pStyle w:val="berschrift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Strafbefehl</w:t>
            </w: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Einsprache</w:t>
            </w: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Verfahren vor Gemeinderat</w:t>
            </w: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pStyle w:val="berschrift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Beschwerde</w:t>
            </w: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Ordnungsb</w:t>
            </w:r>
            <w:r>
              <w:rPr>
                <w:sz w:val="22"/>
                <w:szCs w:val="22"/>
              </w:rPr>
              <w:t>ussen</w:t>
            </w: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pStyle w:val="berschrift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Bussendeposition</w:t>
            </w: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1" w:type="dxa"/>
          </w:tcPr>
          <w:p w:rsidR="00000000" w:rsidRDefault="002437E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1" w:type="dxa"/>
          </w:tcPr>
          <w:p w:rsidR="00000000" w:rsidRDefault="002437E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Verwaltungszwang</w:t>
            </w: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221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1" w:type="dxa"/>
          </w:tcPr>
          <w:p w:rsidR="00000000" w:rsidRDefault="002437E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1" w:type="dxa"/>
          </w:tcPr>
          <w:p w:rsidR="00000000" w:rsidRDefault="002437E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1" w:type="dxa"/>
          </w:tcPr>
          <w:p w:rsidR="00000000" w:rsidRDefault="002437E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1" w:type="dxa"/>
          </w:tcPr>
          <w:p w:rsidR="00000000" w:rsidRDefault="002437E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IV. Schlussbestimmungen</w:t>
            </w:r>
          </w:p>
        </w:tc>
        <w:tc>
          <w:tcPr>
            <w:tcW w:w="2881" w:type="dxa"/>
          </w:tcPr>
          <w:p w:rsidR="00000000" w:rsidRDefault="002437E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1" w:type="dxa"/>
          </w:tcPr>
          <w:p w:rsidR="00000000" w:rsidRDefault="002437E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1" w:type="dxa"/>
          </w:tcPr>
          <w:p w:rsidR="00000000" w:rsidRDefault="002437E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1" w:type="dxa"/>
          </w:tcPr>
          <w:p w:rsidR="00000000" w:rsidRDefault="002437E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Inkrafttreten, Aufhebung bisherigen Rechts</w:t>
            </w:r>
          </w:p>
        </w:tc>
        <w:tc>
          <w:tcPr>
            <w:tcW w:w="2881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221" w:type="dxa"/>
          </w:tcPr>
          <w:p w:rsidR="00000000" w:rsidRDefault="002437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881" w:type="dxa"/>
          </w:tcPr>
          <w:p w:rsidR="00000000" w:rsidRDefault="002437E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1" w:type="dxa"/>
          </w:tcPr>
          <w:p w:rsidR="00000000" w:rsidRDefault="002437E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881" w:type="dxa"/>
          </w:tcPr>
          <w:p w:rsidR="00000000" w:rsidRDefault="002437E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1" w:type="dxa"/>
          </w:tcPr>
          <w:p w:rsidR="00000000" w:rsidRDefault="002437E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881" w:type="dxa"/>
          </w:tcPr>
          <w:p w:rsidR="00000000" w:rsidRDefault="002437E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1" w:type="dxa"/>
          </w:tcPr>
          <w:p w:rsidR="00000000" w:rsidRDefault="002437E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881" w:type="dxa"/>
          </w:tcPr>
          <w:p w:rsidR="00000000" w:rsidRDefault="002437E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1" w:type="dxa"/>
          </w:tcPr>
          <w:p w:rsidR="00000000" w:rsidRDefault="002437E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000000" w:rsidRDefault="002437E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881" w:type="dxa"/>
          </w:tcPr>
          <w:p w:rsidR="00000000" w:rsidRDefault="002437E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1" w:type="dxa"/>
          </w:tcPr>
          <w:p w:rsidR="00000000" w:rsidRDefault="002437ED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000000" w:rsidRDefault="002437ED">
      <w:pPr>
        <w:rPr>
          <w:b/>
          <w:bCs/>
          <w:sz w:val="22"/>
          <w:szCs w:val="22"/>
        </w:rPr>
      </w:pPr>
    </w:p>
    <w:p w:rsidR="00000000" w:rsidRDefault="002437ED">
      <w:pPr>
        <w:rPr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r>
        <w:rPr>
          <w:sz w:val="22"/>
          <w:szCs w:val="22"/>
        </w:rPr>
        <w:lastRenderedPageBreak/>
        <w:t>Gestützt auf die §§ 37 Abs. 2 lit. f, 38 und 112 des Gesetzes über</w:t>
      </w:r>
      <w:r>
        <w:rPr>
          <w:sz w:val="22"/>
          <w:szCs w:val="22"/>
        </w:rPr>
        <w:t xml:space="preserve"> die Einwohnergemeinden (Gemei</w:t>
      </w:r>
      <w:r>
        <w:rPr>
          <w:sz w:val="22"/>
          <w:szCs w:val="22"/>
        </w:rPr>
        <w:t>n</w:t>
      </w:r>
      <w:r>
        <w:rPr>
          <w:sz w:val="22"/>
          <w:szCs w:val="22"/>
        </w:rPr>
        <w:t xml:space="preserve">degesetz) vom 19.12.1978, erlässt der Gemeinderat von Brunegg </w:t>
      </w:r>
      <w:r>
        <w:rPr>
          <w:b/>
          <w:bCs/>
          <w:sz w:val="22"/>
          <w:szCs w:val="22"/>
        </w:rPr>
        <w:t>folgendes Allgemeines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Polizeire</w:t>
      </w:r>
      <w:r>
        <w:rPr>
          <w:b/>
          <w:bCs/>
          <w:sz w:val="22"/>
          <w:szCs w:val="22"/>
        </w:rPr>
        <w:t>g</w:t>
      </w:r>
      <w:r>
        <w:rPr>
          <w:b/>
          <w:bCs/>
          <w:sz w:val="22"/>
          <w:szCs w:val="22"/>
        </w:rPr>
        <w:t>lement.</w:t>
      </w:r>
    </w:p>
    <w:p w:rsidR="00000000" w:rsidRDefault="002437ED">
      <w:pPr>
        <w:rPr>
          <w:sz w:val="22"/>
          <w:szCs w:val="22"/>
        </w:rPr>
      </w:pPr>
    </w:p>
    <w:p w:rsidR="00000000" w:rsidRDefault="002437ED">
      <w:pPr>
        <w:rPr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260"/>
        <w:gridCol w:w="672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pStyle w:val="berschrift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I. Allgemeine Bestimmungen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Sinn und Zweck</w:t>
            </w: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Dieses Reglement umschreibt die Rechte und die Pflichten der Be</w:t>
            </w:r>
            <w:r>
              <w:rPr>
                <w:sz w:val="22"/>
                <w:szCs w:val="22"/>
              </w:rPr>
              <w:t>völk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rung Brunegg’s sowie die Mittel, die zur Aufrechterha</w:t>
            </w:r>
            <w:r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tung von Ruhe, Ordnung und Sicherheit auf dem Gebiete der Gemeinde Brunegg einz</w:t>
            </w:r>
            <w:r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setzen sind.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 ergänzt die Polizeigesetzgebung von Bund und Kanton.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Polizeiorgane</w:t>
            </w: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Oberste </w:t>
            </w:r>
            <w:r>
              <w:rPr>
                <w:sz w:val="22"/>
                <w:szCs w:val="22"/>
              </w:rPr>
              <w:t xml:space="preserve">Polizeibehörde ist der Gemeinderat. Die Leitung des </w:t>
            </w:r>
          </w:p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</w:t>
            </w: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zeiwesens obliegt dem Gemeindeammann.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Jeder Beamte und Angestellte der Gemeinde ist verpflichtet, die ihm von Amtes wegen zustehenden oder vom Gemeinderat sp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ziell übertragenen polizeilichen </w:t>
            </w:r>
            <w:r>
              <w:rPr>
                <w:sz w:val="22"/>
                <w:szCs w:val="22"/>
              </w:rPr>
              <w:t>Funktionen auszuüben.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 Aufgabe der Polizeibehörde umfasst:</w:t>
            </w:r>
          </w:p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strafbare Handlungen verhindern</w:t>
            </w:r>
          </w:p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Gefahren abwenden</w:t>
            </w:r>
          </w:p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fehlbare Personen der Bestrafung zuführen</w:t>
            </w:r>
          </w:p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hilflosen Personen beistehen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 sorgt ferner dafür, dass die einschlägigen Vor</w:t>
            </w:r>
            <w:r>
              <w:rPr>
                <w:sz w:val="22"/>
                <w:szCs w:val="22"/>
              </w:rPr>
              <w:t>schriften für den Stra</w:t>
            </w:r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senverkehr auf dem Gemeindegebiet eingehalten werden.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Anordnungen &amp;</w:t>
            </w:r>
          </w:p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Vorladungen</w:t>
            </w: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Polizeilichen Anordnungen und Vorladungen ist Folge zu leisten.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Identitätsnachweis</w:t>
            </w: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Jedermann ist verpflichtet, den Pol</w:t>
            </w:r>
            <w:r>
              <w:rPr>
                <w:sz w:val="22"/>
                <w:szCs w:val="22"/>
              </w:rPr>
              <w:t>izeiorganen oder den mit polize</w:t>
            </w: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lichen Aufgaben beauftragten Personen auf Verlangen die Personalien a</w:t>
            </w: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zug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ben. Zu diesem Zwecke kann auch das Vorlegen von Ausweisen ve</w:t>
            </w:r>
            <w:r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langt werden.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Polizeiorgane sind berechtigt, auf andere Weise die Identität zu </w:t>
            </w:r>
          </w:p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Überprüfen oder feststellen zu lassen.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Störung polizeilicher </w:t>
            </w:r>
          </w:p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Tätigkeiten</w:t>
            </w: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Jede Störung polizeilicher Tätigkeit ist untersagt. Fehlbare werden ve</w:t>
            </w:r>
            <w:r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zeigt.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  <w:p w:rsidR="00000000" w:rsidRDefault="002437ED">
            <w:pPr>
              <w:rPr>
                <w:sz w:val="22"/>
                <w:szCs w:val="22"/>
              </w:rPr>
            </w:pPr>
          </w:p>
          <w:p w:rsidR="00000000" w:rsidRDefault="002437ED">
            <w:pPr>
              <w:rPr>
                <w:sz w:val="22"/>
                <w:szCs w:val="22"/>
              </w:rPr>
            </w:pPr>
          </w:p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pStyle w:val="berschrift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II. Besondere Bestimmungen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A. Schutz der öffentlichen Sachen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§ </w:t>
            </w:r>
            <w:r>
              <w:rPr>
                <w:sz w:val="22"/>
                <w:szCs w:val="22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Grundsatz</w:t>
            </w: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 ist untersagt, öffentliche Sachen zu beschädigen, zu verunrein</w:t>
            </w: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gen, zu verändern, unbefugterweise zu benützen.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Die Benützung des öffentlichen Grundes ist bewilligungspflichtig.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Reinigungspflicht</w:t>
            </w: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Wer öffentli</w:t>
            </w:r>
            <w:r>
              <w:rPr>
                <w:sz w:val="22"/>
                <w:szCs w:val="22"/>
              </w:rPr>
              <w:t>che Strassen und Anlagen verunreinigt, muss die Erste</w:t>
            </w:r>
            <w:r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lung des normalen Zustandes am Tag danach eingeleitet und wenn möglich abgeschlossen haben.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Jeder Hauseigentümer oder Mieter ist verpflichtet, den Zugang zur Li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genschaft sauber und bei Schneefa</w:t>
            </w:r>
            <w:r>
              <w:rPr>
                <w:sz w:val="22"/>
                <w:szCs w:val="22"/>
              </w:rPr>
              <w:t>ll begehbar zu halten.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Lagerung von</w:t>
            </w:r>
          </w:p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Waren und Abfällen</w:t>
            </w: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Für die vorübergehende Lagerung darf öffentlicher Grund nur wä</w:t>
            </w:r>
            <w:r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rend drei Tagen, nicht aber über Sonn- &amp; Feiertage, bea</w:t>
            </w: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sprucht werden.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Auf- und Ablad sowie das Lagern dürfen d</w:t>
            </w:r>
            <w:r>
              <w:rPr>
                <w:sz w:val="22"/>
                <w:szCs w:val="22"/>
              </w:rPr>
              <w:t>en öffentlichen Verkehr weder stören noch gar gefährden.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Für das Lagern von Abfällen gelten die Bestimmungen des Ke</w:t>
            </w:r>
            <w:r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richt-Reglementes.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Kehricht darf erst am Tage der Entsorgung in den Strassen und auf den Plätzen deponiert werden.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pStyle w:val="berschrift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B. Immissionsschutz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Grundsatz</w:t>
            </w: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Immissionen wie störende Einwirkungen durch Lärm, Erschütterung, G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ruch, Abgase, Rauch, Russ, Dünste, Staub oder Strahlen fallen unter die Vorschriften des kantonalem Baugesetzes und die entsprechenden Au</w:t>
            </w:r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ührungserlasse.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 privatrechtliche Immissionsschutz gemäss Artikel 684 ZGB bleibt vorbehalten.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Lärm</w:t>
            </w: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Wohngebieten sind an Werktagen von 12.00 bis 13.00 Uhr und von 20.00 bis 07.00 Uhr im Freien alle lärmigen Arbeiten wie </w:t>
            </w:r>
            <w:r>
              <w:rPr>
                <w:sz w:val="22"/>
                <w:szCs w:val="22"/>
              </w:rPr>
              <w:t>z.B. Mähen mit Motormähern, Teppich klopfen, die Benützung von M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torsägen, Fräsen, Bohrern, Hämmern etc. verboten.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 Sonntagen und gesetzlichen Feiertagen gilt das Verbot ganz-</w:t>
            </w:r>
          </w:p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ä</w:t>
            </w:r>
            <w:r>
              <w:rPr>
                <w:sz w:val="22"/>
                <w:szCs w:val="22"/>
              </w:rPr>
              <w:t>gig.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 Schiessbetrieb ist auf die offiziellen, vom Schütz</w:t>
            </w:r>
            <w:r>
              <w:rPr>
                <w:sz w:val="22"/>
                <w:szCs w:val="22"/>
              </w:rPr>
              <w:t>enverein a</w:t>
            </w: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fangs Jahr festgelegten Schiessanlässe zu beschränken. Der G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meinderat ist zu orientieren.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Das Abbrennen von Feuerwerk, das Abfeuern von Geschützen, Mörsern, Böllern, Petarden etc. an Hochzeiten und an Privatanlässen ist bewill</w:t>
            </w: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gungspfli</w:t>
            </w:r>
            <w:r>
              <w:rPr>
                <w:sz w:val="22"/>
                <w:szCs w:val="22"/>
              </w:rPr>
              <w:t>chtig. Die Bewilligung ist 10 Tage vor dem Anlass einzuholen.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Bei allgemeinen Festlichkeiten entfällt die Bewilligungspflicht. Ganz allgemein aber ist auf die Einhaltung aller notwendigen </w:t>
            </w:r>
          </w:p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cherheitsvorkommen zu achten.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Ebenso bewilligung</w:t>
            </w:r>
            <w:r>
              <w:rPr>
                <w:sz w:val="22"/>
                <w:szCs w:val="22"/>
              </w:rPr>
              <w:t xml:space="preserve">spflichtig ist die Benützung von Verstärker-Anlagen auf öffentlichem Grund.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Vorbehalte</w:t>
            </w: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Vorbehalten bleiben zusätzliche oder anders lautende Vorschriften der eidgenössischen und kantonalen Gesetzgebung.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pStyle w:val="berschrift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C. Schutz der öffentlic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hen Ordnung und Sicherheit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Unfug</w:t>
            </w: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 Beunruhigung oder Belästigung der Bevölkerung durch Han</w:t>
            </w:r>
            <w:r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lungen, die andere Personen belästigen, erschrecken oder in ihrer Ruhe stören oder ihre Sicherheit in Fr</w:t>
            </w:r>
            <w:r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ge stellen, ist verboten.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jc w:val="center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Schiessen</w:t>
            </w: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Hantieren und Schiessen mit Schusswaffen auf öffentlichem Grund ist verboten.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Von diesem Verbot ausgenommen ist die Benützung der von den Behö</w:t>
            </w:r>
            <w:r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den bezeichneten Schiessplätze, die Jagdgesetzgebung und das Militä</w:t>
            </w:r>
            <w:r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recht.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Sprengungen</w:t>
            </w: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Für Sprengungen ist eine Bewilligung einzuholen.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Tierhaltung </w:t>
            </w: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Tiere sind so zu halten, dass niemand belästigt wird und weder Mensch noch Tiere und Sachen gefährdet werden oder zu Schaden kommen.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Das Ausb</w:t>
            </w:r>
            <w:r>
              <w:rPr>
                <w:sz w:val="22"/>
                <w:szCs w:val="22"/>
              </w:rPr>
              <w:t xml:space="preserve">rechen gefährlicher Tiere ist sofort den Behörden zu </w:t>
            </w:r>
          </w:p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melden.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 ist verboten, Hunde unbeaufsichtigt laufen zu lassen. Auf verkehrsre</w:t>
            </w: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chen Strassen und Plätzen sind Hunde an der Leine zu fü</w:t>
            </w:r>
            <w:r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ren.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 ist verboten, Hunde auf Strassen, Gehwege</w:t>
            </w:r>
            <w:r>
              <w:rPr>
                <w:sz w:val="22"/>
                <w:szCs w:val="22"/>
              </w:rPr>
              <w:t>n oder in öffentlichen Anl</w:t>
            </w:r>
            <w:r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gen versäubern zu lassen. Das gilt auch für privaten Grund, es sei denn, der Eigentümer habe dazu sein Einverständnis gegeben.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pStyle w:val="berschrift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D. Schutz der öffentlichen Sittlichkeit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Notdurft </w:t>
            </w: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 ist untersagt, auf ö</w:t>
            </w:r>
            <w:r>
              <w:rPr>
                <w:sz w:val="22"/>
                <w:szCs w:val="22"/>
              </w:rPr>
              <w:t xml:space="preserve">ffentlichem Grund oder an einem von der </w:t>
            </w:r>
          </w:p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</w:t>
            </w:r>
            <w:r>
              <w:rPr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fentlichkeit einsehbaren Ort die Notdurft zu verrichten.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Ärgernis</w:t>
            </w: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Wer in der Öffentlichkeit durch ungebührliches Verhalten Ärgernis erregt, wird bestraft.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Betrunkene, Personen die unter </w:t>
            </w:r>
            <w:r>
              <w:rPr>
                <w:sz w:val="22"/>
                <w:szCs w:val="22"/>
              </w:rPr>
              <w:t>Drogen stehen oder in ihrer Urteilsfähi</w:t>
            </w:r>
            <w:r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keit eingeschränkt sind, können nötigenfalls zu ihrem Schutz nach Hause oder in Spitalpflege gebracht werden.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Zur Vermeidung von Störungen dürfen sie vorübergehend in Obhut g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nommen werden.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III. B</w:t>
            </w:r>
            <w:r>
              <w:rPr>
                <w:b/>
                <w:bCs/>
                <w:sz w:val="26"/>
                <w:szCs w:val="26"/>
              </w:rPr>
              <w:t>ewilligungen, Strafen, Verfahren, Verwaltung</w:t>
            </w:r>
            <w:r>
              <w:rPr>
                <w:b/>
                <w:bCs/>
                <w:sz w:val="26"/>
                <w:szCs w:val="26"/>
              </w:rPr>
              <w:t>s</w:t>
            </w:r>
            <w:r>
              <w:rPr>
                <w:b/>
                <w:bCs/>
                <w:sz w:val="26"/>
                <w:szCs w:val="26"/>
              </w:rPr>
              <w:t>zwang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Bewilligungen </w:t>
            </w: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 vom Reglement vorgesehenen Bewilligungen werden vom Gemeind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rat erteilt.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 Bewilligungen dürfen bei Vorliegen ausreichender Gründe verweigert werden oder</w:t>
            </w:r>
            <w:r>
              <w:rPr>
                <w:sz w:val="22"/>
                <w:szCs w:val="22"/>
              </w:rPr>
              <w:t xml:space="preserve"> können an Bedingungen geknüpft oder mit Auflagen vers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hen werden.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Bewilligungen sind zu entziehen, wenn die Voraussetzungen für ihre E</w:t>
            </w:r>
            <w:r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teilung nicht mehr gegeben sind oder wenn Bedingungen und Auflage nicht eingehalten werden.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</w:t>
            </w:r>
            <w:r>
              <w:rPr>
                <w:sz w:val="22"/>
                <w:szCs w:val="22"/>
              </w:rPr>
              <w:t>ssen</w:t>
            </w: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Widerhandlungen gegen die Vorschriften dieses Reglements  </w:t>
            </w:r>
          </w:p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</w:t>
            </w:r>
            <w:r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den vom Gemeinderat mit Geldbussen bis Fr. 200.-- bestraft.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Verwarnungen</w:t>
            </w: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leichten Fällen kann anstelle einer Busse eine Verwarnung ausgespr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chen werden.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  <w:p w:rsidR="00000000" w:rsidRDefault="002437ED">
            <w:pPr>
              <w:rPr>
                <w:sz w:val="22"/>
                <w:szCs w:val="22"/>
              </w:rPr>
            </w:pPr>
          </w:p>
          <w:p w:rsidR="00000000" w:rsidRDefault="002437ED">
            <w:pPr>
              <w:rPr>
                <w:sz w:val="22"/>
                <w:szCs w:val="22"/>
              </w:rPr>
            </w:pPr>
          </w:p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§ </w:t>
            </w:r>
            <w:r>
              <w:rPr>
                <w:sz w:val="22"/>
                <w:szCs w:val="22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Fahrlässigkeit,</w:t>
            </w:r>
          </w:p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Versuch </w:t>
            </w: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Die fahrlässige Übertretung ist strafbar, nicht jedoch der blosse Versuch.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Bussenumwandlung </w:t>
            </w: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Schuldhaft unbezahlte Bussen werden in Haft umgewandelt. Es gelten die Vorschriften des Schweiz. Strafgesetzb</w:t>
            </w:r>
            <w:r>
              <w:rPr>
                <w:sz w:val="22"/>
                <w:szCs w:val="22"/>
              </w:rPr>
              <w:t>uches und der Aargauischen Stra</w:t>
            </w:r>
            <w:r>
              <w:rPr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prozess-Ordnung.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Juristische Pers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nen &amp; Handelsgesel</w:t>
            </w:r>
            <w:r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schaften</w:t>
            </w: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Wurde die Übertretung durch eine juristische Person, eine Kolle</w:t>
            </w:r>
            <w:r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tiv- oder Kommanditgesellschaft begangen, so sind die Personen strafbar, die </w:t>
            </w:r>
            <w:r>
              <w:rPr>
                <w:sz w:val="22"/>
                <w:szCs w:val="22"/>
              </w:rPr>
              <w:t>für sie gehandelt haben oder hätten handeln sollen.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Bezahlung der Busse</w:t>
            </w: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Für die Bezahlung der ausgesprochenen Busse haftet die juristische Pe</w:t>
            </w:r>
            <w:r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son bzw. die Gesellschaft solidarisch.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Subsidiäre Geltung des Strafgesetz</w:t>
            </w:r>
          </w:p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ches</w:t>
            </w: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Soweit </w:t>
            </w:r>
            <w:r>
              <w:rPr>
                <w:sz w:val="22"/>
                <w:szCs w:val="22"/>
              </w:rPr>
              <w:t>dieses Reglement keine abweichenden Vorschriften enthält, finden die allgemeinen Bestimmungen des Schweiz. Strafgesetzbuches sinng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mäss Anwendung.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Strafbefehl</w:t>
            </w: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 Gemeinderat fällt Bussen durch Strafbefehl aus.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 Strafbefehl m</w:t>
            </w:r>
            <w:r>
              <w:rPr>
                <w:sz w:val="22"/>
                <w:szCs w:val="22"/>
              </w:rPr>
              <w:t>uss enthalten: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 Name, Vorname und Adresse des Beschuldigten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 der dem Beschuldigten zur Last gelegte Tatbestand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die zur Anwendung gelangenden Strafbestimmungen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d) die Höhe der Geldbusse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e) die Verfahrenskosten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) die Rechtsmittelbelehrung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g) Datum und Unterschrift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Einsprache</w:t>
            </w: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 Gebüsste kann beim Gemeinderat innert 20 Tagen nach Erhalt des Strafbefehls schriftlich Einspruch erheben. Dadurch wird der Strafbefehl aufgehoben.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  <w:p w:rsidR="00000000" w:rsidRDefault="002437ED">
            <w:pPr>
              <w:rPr>
                <w:sz w:val="22"/>
                <w:szCs w:val="22"/>
              </w:rPr>
            </w:pPr>
          </w:p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Verfahren vor </w:t>
            </w:r>
          </w:p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meinderat</w:t>
            </w: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 Einsprecher ist zu einer Verhandlung vor den Gemeinderat oder ein von diesem bestimmten Mitglied vorzuladen. Der Gemeinderat fällt einen begründeten Entscheid.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Beschwerde</w:t>
            </w: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 Entscheid des Gem</w:t>
            </w:r>
            <w:r>
              <w:rPr>
                <w:sz w:val="22"/>
                <w:szCs w:val="22"/>
              </w:rPr>
              <w:t>einderates kann innert 20 Tagen nach Er-</w:t>
            </w:r>
          </w:p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öffnung mit schriftlicher Beschwerde an das Bezirksgericht weite</w:t>
            </w:r>
            <w:r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gezogen werden.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Ordnungsbussen</w:t>
            </w: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 Bussenerhebung gemäss den eidgenössischen Vorschriften über die Ordnungsbussen im Strassenverkehr</w:t>
            </w:r>
            <w:r>
              <w:rPr>
                <w:sz w:val="22"/>
                <w:szCs w:val="22"/>
              </w:rPr>
              <w:t xml:space="preserve"> bleibt vorbehalten.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Bussendepositum </w:t>
            </w: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Von Beschuldigten, die den Übertretungstatbestand anerkennen, kann gegen Quittung ein Bussdepositum entgegengenommen werden. Die Fes</w:t>
            </w:r>
            <w:r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setzung der Busse durch Strafbefehl bleibt dabei vorb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halten.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Verwaltungszwang</w:t>
            </w: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Reglementswidrige Zustände können durch die dafür bestimmten Pers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nen auf Kosten des Fehlbaren beseitigt werden. Ausser in dringenden Fällen ist diesem Gelegenheit zu geben, die Störung zu beseitigen.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pStyle w:val="berschrift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IV. Schlu</w:t>
            </w:r>
            <w:r>
              <w:rPr>
                <w:sz w:val="26"/>
                <w:szCs w:val="26"/>
              </w:rPr>
              <w:t>ssbestimmungen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Inkrafttreten, Auf-h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bung bisherigen Rechts</w:t>
            </w: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Dieses Reglement tritt am 1. März 1991 in Kraft.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Frühere Erlasse, die im Widerspruch zu diesem Reglement stehen, werden aufgehoben.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  <w:tc>
          <w:tcPr>
            <w:tcW w:w="6722" w:type="dxa"/>
          </w:tcPr>
          <w:p w:rsidR="00000000" w:rsidRDefault="002437ED">
            <w:pPr>
              <w:rPr>
                <w:sz w:val="22"/>
                <w:szCs w:val="22"/>
              </w:rPr>
            </w:pPr>
          </w:p>
        </w:tc>
      </w:tr>
    </w:tbl>
    <w:p w:rsidR="00000000" w:rsidRDefault="002437ED">
      <w:pPr>
        <w:rPr>
          <w:sz w:val="22"/>
          <w:szCs w:val="22"/>
        </w:rPr>
      </w:pPr>
    </w:p>
    <w:p w:rsidR="00000000" w:rsidRDefault="002437ED">
      <w:pPr>
        <w:rPr>
          <w:sz w:val="22"/>
          <w:szCs w:val="22"/>
        </w:rPr>
      </w:pPr>
      <w:r>
        <w:rPr>
          <w:sz w:val="22"/>
          <w:szCs w:val="22"/>
        </w:rPr>
        <w:t>Brunegg, 18. Februar 1991</w:t>
      </w:r>
    </w:p>
    <w:p w:rsidR="00000000" w:rsidRDefault="002437ED">
      <w:pPr>
        <w:rPr>
          <w:sz w:val="22"/>
          <w:szCs w:val="22"/>
        </w:rPr>
      </w:pPr>
    </w:p>
    <w:p w:rsidR="00000000" w:rsidRDefault="002437ED">
      <w:pPr>
        <w:rPr>
          <w:sz w:val="22"/>
          <w:szCs w:val="22"/>
        </w:rPr>
      </w:pPr>
    </w:p>
    <w:p w:rsidR="00000000" w:rsidRDefault="002437ED">
      <w:pPr>
        <w:rPr>
          <w:sz w:val="22"/>
          <w:szCs w:val="22"/>
        </w:rPr>
      </w:pPr>
      <w:r>
        <w:rPr>
          <w:sz w:val="22"/>
          <w:szCs w:val="22"/>
        </w:rPr>
        <w:t>Im N</w:t>
      </w:r>
      <w:r>
        <w:rPr>
          <w:sz w:val="22"/>
          <w:szCs w:val="22"/>
        </w:rPr>
        <w:t>amen des Gemeinderates:</w:t>
      </w:r>
    </w:p>
    <w:p w:rsidR="00000000" w:rsidRDefault="002437ED">
      <w:pPr>
        <w:rPr>
          <w:sz w:val="22"/>
          <w:szCs w:val="22"/>
        </w:rPr>
      </w:pPr>
    </w:p>
    <w:p w:rsidR="00000000" w:rsidRDefault="002437ED">
      <w:pPr>
        <w:tabs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000000" w:rsidRDefault="002437ED">
      <w:pPr>
        <w:tabs>
          <w:tab w:val="left" w:pos="2160"/>
          <w:tab w:val="left" w:pos="5580"/>
        </w:tabs>
        <w:rPr>
          <w:sz w:val="22"/>
          <w:szCs w:val="22"/>
        </w:rPr>
      </w:pPr>
      <w:r>
        <w:rPr>
          <w:sz w:val="22"/>
          <w:szCs w:val="22"/>
        </w:rPr>
        <w:tab/>
        <w:t>Der Gemeindeammann:</w:t>
      </w:r>
      <w:r>
        <w:rPr>
          <w:sz w:val="22"/>
          <w:szCs w:val="22"/>
        </w:rPr>
        <w:tab/>
        <w:t>Hansueli Schmid</w:t>
      </w:r>
    </w:p>
    <w:p w:rsidR="00000000" w:rsidRDefault="002437ED">
      <w:pPr>
        <w:rPr>
          <w:sz w:val="22"/>
          <w:szCs w:val="22"/>
        </w:rPr>
      </w:pPr>
    </w:p>
    <w:p w:rsidR="00000000" w:rsidRDefault="002437ED">
      <w:pPr>
        <w:tabs>
          <w:tab w:val="left" w:pos="2160"/>
          <w:tab w:val="left" w:pos="5580"/>
        </w:tabs>
        <w:rPr>
          <w:sz w:val="22"/>
          <w:szCs w:val="22"/>
        </w:rPr>
      </w:pPr>
      <w:r>
        <w:rPr>
          <w:sz w:val="22"/>
          <w:szCs w:val="22"/>
        </w:rPr>
        <w:tab/>
        <w:t>Der Gemeindeschreiber:</w:t>
      </w:r>
      <w:r>
        <w:rPr>
          <w:sz w:val="22"/>
          <w:szCs w:val="22"/>
        </w:rPr>
        <w:tab/>
        <w:t>Werner Huggenberger</w:t>
      </w:r>
    </w:p>
    <w:sectPr w:rsidR="000000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92BF0"/>
    <w:multiLevelType w:val="hybridMultilevel"/>
    <w:tmpl w:val="E44E2CC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FC5AB5"/>
    <w:multiLevelType w:val="hybridMultilevel"/>
    <w:tmpl w:val="621EA6C6"/>
    <w:lvl w:ilvl="0" w:tplc="6B32BB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ED"/>
    <w:rsid w:val="0024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ind w:left="113" w:right="113"/>
      <w:outlineLvl w:val="3"/>
    </w:pPr>
    <w:rPr>
      <w:b/>
      <w:bCs/>
      <w:sz w:val="20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Comic Sans MS" w:hAnsi="Comic Sans MS"/>
      <w:b/>
      <w:bCs/>
      <w:sz w:val="9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ind w:left="113" w:right="113"/>
      <w:outlineLvl w:val="3"/>
    </w:pPr>
    <w:rPr>
      <w:b/>
      <w:bCs/>
      <w:sz w:val="20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Comic Sans MS" w:hAnsi="Comic Sans MS"/>
      <w:b/>
      <w:bCs/>
      <w:sz w:val="9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ngw.nl/int/zwi/b/images/brunegg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1557</Words>
  <Characters>9816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Inhaltsverzeichnis</vt:lpstr>
    </vt:vector>
  </TitlesOfParts>
  <Company>Gemeinde Brunegg</Company>
  <LinksUpToDate>false</LinksUpToDate>
  <CharactersWithSpaces>11351</CharactersWithSpaces>
  <SharedDoc>false</SharedDoc>
  <HLinks>
    <vt:vector size="6" baseType="variant">
      <vt:variant>
        <vt:i4>2359422</vt:i4>
      </vt:variant>
      <vt:variant>
        <vt:i4>-1</vt:i4>
      </vt:variant>
      <vt:variant>
        <vt:i4>1026</vt:i4>
      </vt:variant>
      <vt:variant>
        <vt:i4>1</vt:i4>
      </vt:variant>
      <vt:variant>
        <vt:lpwstr>http://www.ngw.nl/int/zwi/b/images/brunegg.jpg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Inhaltsverzeichnis</dc:title>
  <dc:creator>Gemeindeverwaltung</dc:creator>
  <cp:lastModifiedBy>rz</cp:lastModifiedBy>
  <cp:revision>2</cp:revision>
  <cp:lastPrinted>2003-06-24T13:18:00Z</cp:lastPrinted>
  <dcterms:created xsi:type="dcterms:W3CDTF">2019-12-23T16:53:00Z</dcterms:created>
  <dcterms:modified xsi:type="dcterms:W3CDTF">2019-12-23T16:53:00Z</dcterms:modified>
</cp:coreProperties>
</file>